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F42987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07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F42987">
        <w:rPr>
          <w:rFonts w:ascii="Times New Roman" w:eastAsia="Times New Roman" w:hAnsi="Times New Roman"/>
          <w:b/>
          <w:sz w:val="36"/>
          <w:szCs w:val="36"/>
          <w:lang w:eastAsia="ru-RU"/>
        </w:rPr>
        <w:t>июня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1DD" w:rsidRPr="00C75DA6" w:rsidRDefault="00F42987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Стр.1-6</w:t>
      </w:r>
      <w:bookmarkStart w:id="0" w:name="_GoBack"/>
      <w:bookmarkEnd w:id="0"/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13</w:t>
      </w:r>
    </w:p>
    <w:p w:rsidR="00B5357E" w:rsidRDefault="00B5357E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F42987" w:rsidRPr="009479AC" w:rsidRDefault="00F42987" w:rsidP="00F42987">
      <w:pPr>
        <w:jc w:val="center"/>
        <w:rPr>
          <w:b/>
          <w:sz w:val="28"/>
        </w:rPr>
      </w:pPr>
      <w:r w:rsidRPr="009479AC">
        <w:rPr>
          <w:b/>
          <w:sz w:val="28"/>
        </w:rPr>
        <w:t>Прокурор разъясняет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jc w:val="both"/>
        <w:rPr>
          <w:b/>
          <w:sz w:val="28"/>
        </w:rPr>
      </w:pPr>
      <w:r w:rsidRPr="009479AC">
        <w:rPr>
          <w:b/>
          <w:sz w:val="28"/>
        </w:rPr>
        <w:t>Об участии граждан в отправлении правосудия.</w:t>
      </w:r>
    </w:p>
    <w:p w:rsidR="00F42987" w:rsidRPr="009479AC" w:rsidRDefault="00F42987" w:rsidP="00F42987">
      <w:pPr>
        <w:jc w:val="both"/>
        <w:rPr>
          <w:b/>
          <w:sz w:val="28"/>
        </w:rPr>
      </w:pPr>
    </w:p>
    <w:p w:rsidR="00F42987" w:rsidRPr="009479AC" w:rsidRDefault="00F42987" w:rsidP="00F42987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 w:rsidRPr="009479AC">
        <w:rPr>
          <w:b/>
          <w:sz w:val="28"/>
        </w:rPr>
        <w:t>Что такое суд присяжных?</w:t>
      </w:r>
      <w:r w:rsidRPr="009479AC">
        <w:rPr>
          <w:sz w:val="28"/>
        </w:rPr>
        <w:t xml:space="preserve">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краевом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</w:t>
      </w:r>
      <w:r w:rsidRPr="009479AC">
        <w:rPr>
          <w:sz w:val="28"/>
        </w:rPr>
        <w:lastRenderedPageBreak/>
        <w:t xml:space="preserve">правоохранителя или лица, осуществляющего правосудие, а также по ряду других уголовных дел.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</w:r>
      <w:r w:rsidRPr="009479AC">
        <w:rPr>
          <w:b/>
          <w:sz w:val="28"/>
        </w:rPr>
        <w:t>2. Какие требования предъявляются к присяжным и как их отбирают?</w:t>
      </w:r>
      <w:r w:rsidRPr="009479AC">
        <w:rPr>
          <w:sz w:val="28"/>
        </w:rPr>
        <w:t xml:space="preserve">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>Так, присяжными не могут быть граждане: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 xml:space="preserve">-младше 25 лет;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 xml:space="preserve">-имеющие непогашенную или неснятую судимость;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 xml:space="preserve">-недееспособные;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 xml:space="preserve">-состоящие на учёте в наркологическом или психоневрологическом диспансере.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</w:rPr>
      </w:pPr>
      <w:r w:rsidRPr="009479AC">
        <w:rPr>
          <w:b/>
          <w:sz w:val="28"/>
        </w:rPr>
        <w:t xml:space="preserve">Как стать присяжным заседателем?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lastRenderedPageBreak/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стоят и сколько примерно продлится разбирательство. Присяжным не выдают специальных удостоверений. Если нужно подтвердить свой статус, судья выдаст справку.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</w:rPr>
      </w:pPr>
      <w:r w:rsidRPr="009479AC">
        <w:rPr>
          <w:b/>
          <w:sz w:val="28"/>
        </w:rPr>
        <w:t>Обязан ли кандидат в присяжные явиться по приглашению?</w:t>
      </w:r>
      <w:r w:rsidRPr="009479AC">
        <w:rPr>
          <w:sz w:val="28"/>
        </w:rPr>
        <w:t xml:space="preserve"> </w:t>
      </w:r>
      <w:r w:rsidRPr="009479AC">
        <w:rPr>
          <w:b/>
          <w:sz w:val="28"/>
        </w:rPr>
        <w:t xml:space="preserve">Предусмотрены ли санкции за неявку?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b/>
          <w:sz w:val="28"/>
        </w:rPr>
        <w:tab/>
      </w:r>
      <w:r w:rsidRPr="009479AC">
        <w:rPr>
          <w:sz w:val="28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</w:rPr>
      </w:pPr>
      <w:r w:rsidRPr="009479AC">
        <w:rPr>
          <w:b/>
          <w:sz w:val="28"/>
        </w:rPr>
        <w:t xml:space="preserve">Сколько может длиться судебное разбирательство?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Уголовный процесс состоит не из одного заседания и как правило длиться от нескольких недель до пары месяцев, в редких случаях дольше. Обычно между заседаниями есть перерывы. В это время присяжные </w:t>
      </w:r>
      <w:r w:rsidRPr="009479AC">
        <w:rPr>
          <w:sz w:val="28"/>
        </w:rPr>
        <w:lastRenderedPageBreak/>
        <w:t xml:space="preserve">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</w:rPr>
      </w:pPr>
      <w:r w:rsidRPr="009479AC">
        <w:rPr>
          <w:b/>
          <w:sz w:val="28"/>
        </w:rPr>
        <w:t xml:space="preserve">Оплачивается ли потраченное время?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Участие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участника по основному месту работы. Также оплачивается проезд до места проведения суда.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</w:rPr>
      </w:pPr>
      <w:r w:rsidRPr="009479AC">
        <w:rPr>
          <w:b/>
          <w:sz w:val="28"/>
        </w:rPr>
        <w:t xml:space="preserve">Предусмотрены ли меры защиты в случае угрозы от подсудимых для присяжных заседателей?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Закон предусматривает гарантии для присяжного заседателя.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lastRenderedPageBreak/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 w:rsidRPr="009479AC">
        <w:rPr>
          <w:sz w:val="28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9479AC" w:rsidRDefault="00F42987" w:rsidP="00F42987">
      <w:pPr>
        <w:numPr>
          <w:ilvl w:val="0"/>
          <w:numId w:val="13"/>
        </w:numPr>
        <w:spacing w:after="0" w:line="240" w:lineRule="auto"/>
        <w:jc w:val="both"/>
        <w:rPr>
          <w:b/>
          <w:sz w:val="28"/>
        </w:rPr>
      </w:pPr>
      <w:r w:rsidRPr="009479AC">
        <w:rPr>
          <w:b/>
          <w:sz w:val="28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F42987" w:rsidRPr="009479AC" w:rsidRDefault="00F42987" w:rsidP="00F42987">
      <w:pPr>
        <w:jc w:val="both"/>
        <w:rPr>
          <w:sz w:val="28"/>
        </w:rPr>
      </w:pPr>
      <w:r w:rsidRPr="009479AC">
        <w:rPr>
          <w:sz w:val="28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 </w:t>
      </w:r>
    </w:p>
    <w:p w:rsidR="00F42987" w:rsidRPr="009479AC" w:rsidRDefault="00F42987" w:rsidP="00F42987">
      <w:pPr>
        <w:jc w:val="both"/>
        <w:rPr>
          <w:sz w:val="28"/>
        </w:rPr>
      </w:pPr>
    </w:p>
    <w:p w:rsidR="00F42987" w:rsidRPr="00F31CF3" w:rsidRDefault="00F42987" w:rsidP="00F42987">
      <w:pPr>
        <w:jc w:val="both"/>
        <w:rPr>
          <w:sz w:val="28"/>
          <w:szCs w:val="28"/>
        </w:rPr>
      </w:pP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Панафидин</w:t>
      </w:r>
    </w:p>
    <w:p w:rsidR="00F42987" w:rsidRDefault="00F42987" w:rsidP="00F42987">
      <w:pPr>
        <w:jc w:val="both"/>
        <w:rPr>
          <w:sz w:val="28"/>
          <w:szCs w:val="28"/>
        </w:rPr>
      </w:pPr>
    </w:p>
    <w:p w:rsidR="00F42987" w:rsidRDefault="00F42987" w:rsidP="00F42987">
      <w:pPr>
        <w:jc w:val="both"/>
        <w:rPr>
          <w:sz w:val="28"/>
          <w:szCs w:val="28"/>
        </w:rPr>
      </w:pPr>
    </w:p>
    <w:p w:rsidR="00B5357E" w:rsidRDefault="00B5357E" w:rsidP="00B5357E"/>
    <w:p w:rsidR="00533A25" w:rsidRPr="0021585D" w:rsidRDefault="00533A25">
      <w:pPr>
        <w:rPr>
          <w:rFonts w:ascii="Times New Roman" w:hAnsi="Times New Roman"/>
          <w:sz w:val="24"/>
          <w:szCs w:val="24"/>
        </w:rPr>
      </w:pP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F42987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924B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429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E6C5D"/>
    <w:rsid w:val="0021585D"/>
    <w:rsid w:val="002557A5"/>
    <w:rsid w:val="002C618E"/>
    <w:rsid w:val="002F5CEA"/>
    <w:rsid w:val="003E54F0"/>
    <w:rsid w:val="004778F6"/>
    <w:rsid w:val="004811A3"/>
    <w:rsid w:val="00533A25"/>
    <w:rsid w:val="0061664E"/>
    <w:rsid w:val="00755634"/>
    <w:rsid w:val="007C37A8"/>
    <w:rsid w:val="00900FF4"/>
    <w:rsid w:val="00924BC0"/>
    <w:rsid w:val="009828FA"/>
    <w:rsid w:val="009C3BE8"/>
    <w:rsid w:val="00A97030"/>
    <w:rsid w:val="00B066DB"/>
    <w:rsid w:val="00B5357E"/>
    <w:rsid w:val="00B871DD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51EF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D580-D2CE-48EE-BD44-7393FED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42</cp:revision>
  <cp:lastPrinted>2020-02-11T07:30:00Z</cp:lastPrinted>
  <dcterms:created xsi:type="dcterms:W3CDTF">2019-03-15T04:08:00Z</dcterms:created>
  <dcterms:modified xsi:type="dcterms:W3CDTF">2023-06-07T03:42:00Z</dcterms:modified>
</cp:coreProperties>
</file>